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E77BE" w14:textId="77777777" w:rsidR="00193D8C" w:rsidRDefault="00193D8C"/>
    <w:p w14:paraId="4374A2C4" w14:textId="77777777" w:rsidR="00193D8C" w:rsidRDefault="00193D8C"/>
    <w:p w14:paraId="6C9524DF" w14:textId="77777777" w:rsidR="00193D8C" w:rsidRDefault="00193D8C"/>
    <w:p w14:paraId="30B47FE4" w14:textId="77777777" w:rsidR="00193D8C" w:rsidRDefault="00193D8C"/>
    <w:p w14:paraId="179B117E" w14:textId="77777777" w:rsidR="00193D8C" w:rsidRDefault="00193D8C"/>
    <w:p w14:paraId="32FAC313" w14:textId="77777777" w:rsidR="00193D8C" w:rsidRDefault="00193D8C"/>
    <w:p w14:paraId="591A8180" w14:textId="0070BC22" w:rsidR="0072722E" w:rsidRDefault="006C4DD0" w:rsidP="006C4DD0">
      <w:pPr>
        <w:spacing w:after="0"/>
        <w:ind w:firstLine="0"/>
        <w:contextualSpacing/>
        <w:jc w:val="center"/>
      </w:pPr>
      <w:bookmarkStart w:id="0" w:name="_GoBack"/>
      <w:r>
        <w:t xml:space="preserve">Stateless People in Kuwait </w:t>
      </w:r>
      <w:bookmarkEnd w:id="0"/>
      <w:r>
        <w:t>and Their Destabilized Civil Rights</w:t>
      </w:r>
    </w:p>
    <w:p w14:paraId="68E6DDEB" w14:textId="1C058B6F" w:rsidR="00193D8C" w:rsidRDefault="006C4DD0" w:rsidP="006C4DD0">
      <w:pPr>
        <w:spacing w:after="0"/>
        <w:ind w:firstLine="0"/>
        <w:contextualSpacing/>
        <w:jc w:val="center"/>
      </w:pPr>
      <w:r>
        <w:t>Institution Affiliation</w:t>
      </w:r>
      <w:r w:rsidR="00A25EA6">
        <w:t>:</w:t>
      </w:r>
    </w:p>
    <w:p w14:paraId="7BDC7914" w14:textId="77777777" w:rsidR="00193D8C" w:rsidRDefault="00A25EA6" w:rsidP="006C4DD0">
      <w:pPr>
        <w:spacing w:after="0"/>
        <w:ind w:firstLine="0"/>
        <w:contextualSpacing/>
        <w:jc w:val="center"/>
      </w:pPr>
      <w:r>
        <w:t>Students Name:</w:t>
      </w:r>
    </w:p>
    <w:p w14:paraId="541DE602" w14:textId="77777777" w:rsidR="00193D8C" w:rsidRPr="00193D8C" w:rsidRDefault="00A25EA6" w:rsidP="006C4DD0">
      <w:pPr>
        <w:spacing w:after="0"/>
        <w:ind w:firstLine="0"/>
        <w:contextualSpacing/>
        <w:jc w:val="center"/>
      </w:pPr>
      <w:r>
        <w:br w:type="page"/>
      </w:r>
      <w:r w:rsidRPr="00193D8C">
        <w:rPr>
          <w:b/>
        </w:rPr>
        <w:lastRenderedPageBreak/>
        <w:t>Introduction</w:t>
      </w:r>
    </w:p>
    <w:p w14:paraId="1A0DAA61" w14:textId="77777777" w:rsidR="00815329" w:rsidRDefault="00A25EA6" w:rsidP="006C4DD0">
      <w:pPr>
        <w:tabs>
          <w:tab w:val="left" w:pos="465"/>
          <w:tab w:val="left" w:pos="630"/>
          <w:tab w:val="center" w:pos="4680"/>
        </w:tabs>
        <w:spacing w:after="0"/>
        <w:contextualSpacing/>
      </w:pPr>
      <w:r>
        <w:tab/>
      </w:r>
      <w:r w:rsidR="00C220E7">
        <w:t>Kuwait is</w:t>
      </w:r>
      <w:r w:rsidR="007E44CB">
        <w:t xml:space="preserve"> a country</w:t>
      </w:r>
      <w:r w:rsidR="00C220E7">
        <w:t xml:space="preserve"> </w:t>
      </w:r>
      <w:r w:rsidR="003A29F1">
        <w:t>located in Asia</w:t>
      </w:r>
      <w:r w:rsidR="007E44CB">
        <w:t xml:space="preserve"> at the tip of the Persian Gulf, sharing the border between Saudi Arabia and Iraq. Approximately 4.5 million people call it home; 1.5 million people being citizens (Kuwaitis) and the rest e</w:t>
      </w:r>
      <w:r w:rsidR="007E44CB" w:rsidRPr="007E44CB">
        <w:t>xpatriate</w:t>
      </w:r>
      <w:r w:rsidR="007E44CB">
        <w:t xml:space="preserve">s. Over the years Kuwait has embraced constitutional and the hereditary rule by the </w:t>
      </w:r>
      <w:r w:rsidR="007E44CB" w:rsidRPr="007E44CB">
        <w:t>Al Sabah family</w:t>
      </w:r>
      <w:r w:rsidR="009252A9">
        <w:t>, which has gone sore with time</w:t>
      </w:r>
      <w:r w:rsidR="007E44CB">
        <w:t>. Despite their economic strength</w:t>
      </w:r>
      <w:r w:rsidR="009252A9">
        <w:t>,</w:t>
      </w:r>
      <w:r w:rsidR="007E44CB">
        <w:t xml:space="preserve"> the country is facing social and legal discriminations across </w:t>
      </w:r>
      <w:r w:rsidR="009252A9">
        <w:t>institutions and individuals, who have a closer eye on citizen's rights with efforts of changing the government of the day. Today such personalities are the enemies of the state, victimizing the human rights in the long run.</w:t>
      </w:r>
    </w:p>
    <w:p w14:paraId="52314545" w14:textId="77777777" w:rsidR="00815329" w:rsidRPr="00815329" w:rsidRDefault="00A25EA6" w:rsidP="006C4DD0">
      <w:pPr>
        <w:tabs>
          <w:tab w:val="left" w:pos="465"/>
          <w:tab w:val="left" w:pos="630"/>
          <w:tab w:val="center" w:pos="4680"/>
        </w:tabs>
        <w:spacing w:after="0"/>
        <w:ind w:firstLine="0"/>
        <w:contextualSpacing/>
        <w:jc w:val="center"/>
        <w:rPr>
          <w:b/>
        </w:rPr>
      </w:pPr>
      <w:r w:rsidRPr="00815329">
        <w:rPr>
          <w:b/>
        </w:rPr>
        <w:t>History of Human Rights in Kuwait</w:t>
      </w:r>
    </w:p>
    <w:p w14:paraId="473B48A6" w14:textId="6903448C" w:rsidR="009252A9" w:rsidRDefault="00A25EA6" w:rsidP="006C4DD0">
      <w:pPr>
        <w:tabs>
          <w:tab w:val="left" w:pos="465"/>
          <w:tab w:val="left" w:pos="630"/>
          <w:tab w:val="center" w:pos="4680"/>
        </w:tabs>
        <w:spacing w:after="0"/>
        <w:contextualSpacing/>
      </w:pPr>
      <w:r>
        <w:tab/>
      </w:r>
      <w:r w:rsidR="00060501">
        <w:t xml:space="preserve">To start with the political crisis in </w:t>
      </w:r>
      <w:r w:rsidR="006C4DD0">
        <w:t>Kuwait</w:t>
      </w:r>
      <w:r w:rsidR="00060501">
        <w:t xml:space="preserve"> began after the Cold war, where small countries were encouraged </w:t>
      </w:r>
      <w:r>
        <w:t xml:space="preserve">by international corporations </w:t>
      </w:r>
      <w:r w:rsidR="00060501">
        <w:t xml:space="preserve">to adhere to the </w:t>
      </w:r>
      <w:r>
        <w:t xml:space="preserve">human rights standards. </w:t>
      </w:r>
      <w:proofErr w:type="spellStart"/>
      <w:r w:rsidR="006C4DD0">
        <w:t>Ghanim</w:t>
      </w:r>
      <w:proofErr w:type="spellEnd"/>
      <w:r>
        <w:t xml:space="preserve"> (</w:t>
      </w:r>
      <w:r w:rsidR="00060501">
        <w:t>2001</w:t>
      </w:r>
      <w:proofErr w:type="gramStart"/>
      <w:r>
        <w:t>),</w:t>
      </w:r>
      <w:proofErr w:type="gramEnd"/>
      <w:r>
        <w:t xml:space="preserve"> emphasizes how their economic stability influenced their stand on internal affairs and </w:t>
      </w:r>
      <w:r w:rsidR="006C4DD0">
        <w:t>chooses</w:t>
      </w:r>
      <w:r>
        <w:t xml:space="preserve"> to ignore such corporations. With such external pressures, Kuwait deteriorated their oppressive measures, sometimes with caution. Opportunistic invasions like that of Iraq </w:t>
      </w:r>
      <w:r w:rsidR="00815329">
        <w:t xml:space="preserve">worsened the redeemable chances of structural improvements and the indifference lead to political crises that sidelined the human rights. Despite the setting, the invasions and engaging people, </w:t>
      </w:r>
      <w:r w:rsidR="002240F8">
        <w:t xml:space="preserve">come 1985 the Kuwait government categorized </w:t>
      </w:r>
      <w:proofErr w:type="spellStart"/>
      <w:r w:rsidR="002240F8">
        <w:t>Bidoon</w:t>
      </w:r>
      <w:proofErr w:type="spellEnd"/>
      <w:r w:rsidR="002F21B6">
        <w:t xml:space="preserve"> (</w:t>
      </w:r>
      <w:r w:rsidR="002F21B6" w:rsidRPr="002F21B6">
        <w:t>nomadic tribes</w:t>
      </w:r>
      <w:r w:rsidR="002F21B6">
        <w:t>)</w:t>
      </w:r>
      <w:r w:rsidR="002240F8">
        <w:t xml:space="preserve"> as illegal immigrants and denied </w:t>
      </w:r>
      <w:r w:rsidR="006C4DD0">
        <w:t>those</w:t>
      </w:r>
      <w:r w:rsidR="002204B0">
        <w:t xml:space="preserve"> equal </w:t>
      </w:r>
      <w:r w:rsidR="00815329" w:rsidRPr="00815329">
        <w:t>human rights</w:t>
      </w:r>
      <w:r w:rsidR="002204B0">
        <w:t xml:space="preserve"> to the Kuwaitis. The culture of </w:t>
      </w:r>
      <w:r w:rsidR="00B70D73">
        <w:t xml:space="preserve">neglecting, the </w:t>
      </w:r>
      <w:proofErr w:type="spellStart"/>
      <w:r w:rsidR="00B70D73">
        <w:t>Bedoon’s</w:t>
      </w:r>
      <w:proofErr w:type="spellEnd"/>
      <w:r w:rsidR="00B70D73">
        <w:t xml:space="preserve"> civil </w:t>
      </w:r>
      <w:r w:rsidR="006C4DD0">
        <w:t>rights have</w:t>
      </w:r>
      <w:r w:rsidR="00B70D73">
        <w:t xml:space="preserve"> now cropped up to the 21</w:t>
      </w:r>
      <w:r w:rsidR="00B70D73" w:rsidRPr="00B70D73">
        <w:rPr>
          <w:vertAlign w:val="superscript"/>
        </w:rPr>
        <w:t>st</w:t>
      </w:r>
      <w:r w:rsidR="00B70D73">
        <w:t xml:space="preserve"> century. The following claims solidified the unresolved discriminations faced by the </w:t>
      </w:r>
      <w:proofErr w:type="spellStart"/>
      <w:r w:rsidR="00B70D73">
        <w:t>Bedoon</w:t>
      </w:r>
      <w:proofErr w:type="spellEnd"/>
      <w:r w:rsidR="00B70D73">
        <w:t xml:space="preserve"> in Kuwait.</w:t>
      </w:r>
      <w:r w:rsidR="004A48E3">
        <w:t xml:space="preserve"> </w:t>
      </w:r>
    </w:p>
    <w:p w14:paraId="59804FBE" w14:textId="77777777" w:rsidR="00B70D73" w:rsidRDefault="00B70D73" w:rsidP="006C4DD0">
      <w:pPr>
        <w:tabs>
          <w:tab w:val="left" w:pos="465"/>
          <w:tab w:val="left" w:pos="630"/>
          <w:tab w:val="center" w:pos="4680"/>
        </w:tabs>
        <w:spacing w:after="0"/>
        <w:ind w:firstLine="0"/>
        <w:contextualSpacing/>
      </w:pPr>
    </w:p>
    <w:p w14:paraId="2A801573" w14:textId="77777777" w:rsidR="004A48E3" w:rsidRPr="004A48E3" w:rsidRDefault="00A25EA6" w:rsidP="006C4DD0">
      <w:pPr>
        <w:tabs>
          <w:tab w:val="left" w:pos="465"/>
          <w:tab w:val="left" w:pos="630"/>
          <w:tab w:val="center" w:pos="4680"/>
        </w:tabs>
        <w:spacing w:after="0"/>
        <w:contextualSpacing/>
        <w:jc w:val="center"/>
      </w:pPr>
      <w:r>
        <w:rPr>
          <w:b/>
        </w:rPr>
        <w:t>Citizenship</w:t>
      </w:r>
    </w:p>
    <w:p w14:paraId="0EC3B186" w14:textId="77777777" w:rsidR="00352B7D" w:rsidRDefault="00A25EA6" w:rsidP="006C4DD0">
      <w:pPr>
        <w:tabs>
          <w:tab w:val="left" w:pos="465"/>
          <w:tab w:val="left" w:pos="630"/>
          <w:tab w:val="center" w:pos="4680"/>
        </w:tabs>
        <w:spacing w:after="0"/>
        <w:contextualSpacing/>
      </w:pPr>
      <w:r>
        <w:lastRenderedPageBreak/>
        <w:tab/>
      </w:r>
      <w:r w:rsidR="00E744BC">
        <w:t xml:space="preserve">Initially, the Kuwait government passed a law that targeted registering over </w:t>
      </w:r>
      <w:r w:rsidR="00F5715A">
        <w:t>2</w:t>
      </w:r>
      <w:r w:rsidR="00E744BC">
        <w:t xml:space="preserve">000 </w:t>
      </w:r>
      <w:proofErr w:type="spellStart"/>
      <w:r w:rsidR="00E744BC">
        <w:t>Bidoon</w:t>
      </w:r>
      <w:proofErr w:type="spellEnd"/>
      <w:r w:rsidR="00B17F0E">
        <w:t xml:space="preserve"> as citizens. This was not the case on the ground. The government went ahead and filtered the minimum </w:t>
      </w:r>
      <w:r w:rsidR="00F5715A">
        <w:t xml:space="preserve">requirements, that the </w:t>
      </w:r>
      <w:proofErr w:type="spellStart"/>
      <w:r w:rsidR="00F5715A">
        <w:t>Bidoon</w:t>
      </w:r>
      <w:proofErr w:type="spellEnd"/>
      <w:r w:rsidR="00F5715A">
        <w:t xml:space="preserve"> and their descendants can be citizens if they were recorded in the 1965 census. Only the wealthy and those with connections made it through. The strict nationalities </w:t>
      </w:r>
      <w:r w:rsidR="00DB4823">
        <w:t>are</w:t>
      </w:r>
      <w:r w:rsidR="00F5715A">
        <w:t xml:space="preserve"> still affecting the few families </w:t>
      </w:r>
      <w:r w:rsidR="00DB4823">
        <w:t xml:space="preserve">left to settle in the country. According to </w:t>
      </w:r>
      <w:r>
        <w:t>a</w:t>
      </w:r>
      <w:r w:rsidR="00DB4823">
        <w:t xml:space="preserve"> report by World Directory of Minority and Indigenous</w:t>
      </w:r>
      <w:r>
        <w:t xml:space="preserve"> People, the descendants of </w:t>
      </w:r>
      <w:proofErr w:type="spellStart"/>
      <w:r>
        <w:t>Bidoon</w:t>
      </w:r>
      <w:proofErr w:type="spellEnd"/>
      <w:r>
        <w:t xml:space="preserve"> parents (both or even one parent) cannot claim any citizenship. </w:t>
      </w:r>
    </w:p>
    <w:p w14:paraId="767F745C" w14:textId="77777777" w:rsidR="004A48E3" w:rsidRPr="004A48E3" w:rsidRDefault="00A25EA6" w:rsidP="006C4DD0">
      <w:pPr>
        <w:tabs>
          <w:tab w:val="left" w:pos="465"/>
          <w:tab w:val="left" w:pos="630"/>
          <w:tab w:val="center" w:pos="4680"/>
        </w:tabs>
        <w:spacing w:after="0"/>
        <w:contextualSpacing/>
      </w:pPr>
      <w:r>
        <w:t>The exception is the cases of death or divorce.</w:t>
      </w:r>
      <w:r w:rsidR="006653BB">
        <w:t xml:space="preserve"> </w:t>
      </w:r>
      <w:r>
        <w:t xml:space="preserve">Later on, </w:t>
      </w:r>
      <w:proofErr w:type="spellStart"/>
      <w:r>
        <w:t>Bidoon</w:t>
      </w:r>
      <w:proofErr w:type="spellEnd"/>
      <w:r>
        <w:t xml:space="preserve"> </w:t>
      </w:r>
      <w:r w:rsidR="00A35716">
        <w:t xml:space="preserve">people would have to identify themselves with a color system card. </w:t>
      </w:r>
      <w:r w:rsidR="006653BB">
        <w:t>This</w:t>
      </w:r>
      <w:r w:rsidR="00A35716">
        <w:t xml:space="preserve"> </w:t>
      </w:r>
      <w:r w:rsidR="006653BB">
        <w:t>was a discriminative</w:t>
      </w:r>
      <w:r w:rsidR="00A35716">
        <w:t xml:space="preserve"> move targeted to limit various dockets of registration, including health. </w:t>
      </w:r>
      <w:r w:rsidR="006653BB">
        <w:t xml:space="preserve">The </w:t>
      </w:r>
      <w:proofErr w:type="spellStart"/>
      <w:r w:rsidR="006653BB">
        <w:t>Bidoon</w:t>
      </w:r>
      <w:proofErr w:type="spellEnd"/>
      <w:r w:rsidR="006653BB">
        <w:t xml:space="preserve"> were not in any position similar to the Kuwait citizens. </w:t>
      </w:r>
      <w:r w:rsidR="00A35716">
        <w:t>Depending on the color of your identification ca</w:t>
      </w:r>
      <w:r w:rsidR="006653BB">
        <w:t>rd, there were limits on basic needs access to them, they were also pre-exposed to arrest.</w:t>
      </w:r>
    </w:p>
    <w:p w14:paraId="7F76E389" w14:textId="3D699570" w:rsidR="00A93D6F" w:rsidRDefault="00A25EA6" w:rsidP="006C4DD0">
      <w:pPr>
        <w:tabs>
          <w:tab w:val="left" w:pos="465"/>
          <w:tab w:val="left" w:pos="630"/>
          <w:tab w:val="center" w:pos="4680"/>
        </w:tabs>
        <w:spacing w:after="0"/>
        <w:contextualSpacing/>
      </w:pPr>
      <w:proofErr w:type="spellStart"/>
      <w:r>
        <w:t>Bidoon</w:t>
      </w:r>
      <w:proofErr w:type="spellEnd"/>
      <w:r>
        <w:t xml:space="preserve"> Women are on the tough way of living in Kuwait. The gender discrimination has been dominant in offering citizenship to women. For example, a woman can acquire citizenship from her father or husband but cannot pass it on to her children, hence excluding married women from acquiring citizenship.  </w:t>
      </w:r>
      <w:r w:rsidR="00D4493D">
        <w:t xml:space="preserve">This was law, </w:t>
      </w:r>
      <w:r w:rsidR="00D4493D" w:rsidRPr="00D4493D">
        <w:rPr>
          <w:i/>
        </w:rPr>
        <w:t>jus</w:t>
      </w:r>
      <w:r w:rsidR="00D4493D">
        <w:rPr>
          <w:i/>
          <w:iCs/>
          <w:color w:val="000000"/>
          <w:shd w:val="clear" w:color="auto" w:fill="FFFFFF"/>
        </w:rPr>
        <w:t xml:space="preserve"> </w:t>
      </w:r>
      <w:proofErr w:type="spellStart"/>
      <w:r w:rsidR="00D4493D">
        <w:rPr>
          <w:i/>
          <w:iCs/>
          <w:color w:val="000000"/>
          <w:shd w:val="clear" w:color="auto" w:fill="FFFFFF"/>
        </w:rPr>
        <w:t>sanguinis</w:t>
      </w:r>
      <w:proofErr w:type="spellEnd"/>
      <w:r w:rsidR="00D4493D">
        <w:rPr>
          <w:color w:val="000000"/>
          <w:shd w:val="clear" w:color="auto" w:fill="FFFFFF"/>
        </w:rPr>
        <w:t> principle, where only men could pass on</w:t>
      </w:r>
      <w:r w:rsidR="004D309E">
        <w:rPr>
          <w:color w:val="000000"/>
          <w:shd w:val="clear" w:color="auto" w:fill="FFFFFF"/>
        </w:rPr>
        <w:t xml:space="preserve"> citizenship to their offspring</w:t>
      </w:r>
      <w:r w:rsidR="00D4493D">
        <w:rPr>
          <w:color w:val="000000"/>
          <w:shd w:val="clear" w:color="auto" w:fill="FFFFFF"/>
        </w:rPr>
        <w:t xml:space="preserve">. </w:t>
      </w:r>
      <w:r w:rsidR="00D4493D">
        <w:t>Women were also denied legal identifications in case of divorce or death. Their legitimate share during divorce was never</w:t>
      </w:r>
      <w:r w:rsidR="004D309E">
        <w:t xml:space="preserve"> entitled to them.  Some were </w:t>
      </w:r>
      <w:r>
        <w:t xml:space="preserve">harassed </w:t>
      </w:r>
      <w:r w:rsidR="004D309E">
        <w:t>sexually.</w:t>
      </w:r>
      <w:r w:rsidR="00652EC9">
        <w:t xml:space="preserve"> </w:t>
      </w:r>
    </w:p>
    <w:p w14:paraId="0F03FF80" w14:textId="2EEC59D5" w:rsidR="00ED5AD7" w:rsidRPr="00ED5AD7" w:rsidRDefault="00A25EA6" w:rsidP="006C4DD0">
      <w:pPr>
        <w:tabs>
          <w:tab w:val="left" w:pos="465"/>
          <w:tab w:val="left" w:pos="630"/>
          <w:tab w:val="center" w:pos="4680"/>
        </w:tabs>
        <w:spacing w:after="0"/>
        <w:ind w:firstLine="0"/>
        <w:contextualSpacing/>
        <w:jc w:val="center"/>
        <w:rPr>
          <w:b/>
        </w:rPr>
      </w:pPr>
      <w:r w:rsidRPr="00ED5AD7">
        <w:rPr>
          <w:b/>
        </w:rPr>
        <w:t>Education</w:t>
      </w:r>
      <w:r w:rsidR="006C4DD0">
        <w:rPr>
          <w:b/>
        </w:rPr>
        <w:t xml:space="preserve"> and Employment</w:t>
      </w:r>
    </w:p>
    <w:p w14:paraId="276D8760" w14:textId="290564D1" w:rsidR="00352B7D" w:rsidRDefault="00A25EA6" w:rsidP="006C4DD0">
      <w:pPr>
        <w:tabs>
          <w:tab w:val="left" w:pos="465"/>
          <w:tab w:val="left" w:pos="630"/>
          <w:tab w:val="center" w:pos="4680"/>
        </w:tabs>
        <w:spacing w:after="0"/>
        <w:contextualSpacing/>
      </w:pPr>
      <w:r>
        <w:t xml:space="preserve">Another vulnerable group was the children. </w:t>
      </w:r>
      <w:proofErr w:type="spellStart"/>
      <w:r>
        <w:t>Bidoon</w:t>
      </w:r>
      <w:proofErr w:type="spellEnd"/>
      <w:r>
        <w:t xml:space="preserve"> children were not entitled to an education, especially in the public school</w:t>
      </w:r>
      <w:r w:rsidR="00ED5AD7">
        <w:t>s</w:t>
      </w:r>
      <w:r>
        <w:t>. Most of the</w:t>
      </w:r>
      <w:r w:rsidR="00ED5AD7">
        <w:t>m</w:t>
      </w:r>
      <w:r>
        <w:t xml:space="preserve"> relied on charities to private </w:t>
      </w:r>
      <w:r w:rsidR="006C4DD0">
        <w:t>schools that</w:t>
      </w:r>
      <w:r w:rsidR="00ED5AD7">
        <w:t xml:space="preserve"> had lower standards. However, this was an improvement on how the </w:t>
      </w:r>
      <w:proofErr w:type="spellStart"/>
      <w:r w:rsidR="00ED5AD7">
        <w:t>Bidoon</w:t>
      </w:r>
      <w:proofErr w:type="spellEnd"/>
      <w:r w:rsidR="00ED5AD7">
        <w:t xml:space="preserve"> children were </w:t>
      </w:r>
      <w:r w:rsidR="00ED5AD7">
        <w:lastRenderedPageBreak/>
        <w:t xml:space="preserve">treated. Initially, the children were forced to do hard labor, until 1980. Some of the </w:t>
      </w:r>
      <w:proofErr w:type="spellStart"/>
      <w:r w:rsidR="00ED5AD7">
        <w:t>Bidoon</w:t>
      </w:r>
      <w:proofErr w:type="spellEnd"/>
      <w:r w:rsidR="00ED5AD7">
        <w:t xml:space="preserve"> children who managed to the university standards were denied a chance to attend Kuwait University. This culture was persisted until 2014</w:t>
      </w:r>
      <w:r w:rsidR="00066067">
        <w:t>.</w:t>
      </w:r>
    </w:p>
    <w:p w14:paraId="0751C3AB" w14:textId="77777777" w:rsidR="000F169D" w:rsidRPr="00352B7D" w:rsidRDefault="00A25EA6" w:rsidP="006C4DD0">
      <w:pPr>
        <w:tabs>
          <w:tab w:val="left" w:pos="465"/>
          <w:tab w:val="left" w:pos="630"/>
          <w:tab w:val="center" w:pos="4680"/>
        </w:tabs>
        <w:spacing w:after="0"/>
        <w:contextualSpacing/>
      </w:pPr>
      <w:r>
        <w:t xml:space="preserve"> Despite the change, </w:t>
      </w:r>
      <w:proofErr w:type="spellStart"/>
      <w:r>
        <w:t>Bidoon</w:t>
      </w:r>
      <w:proofErr w:type="spellEnd"/>
      <w:r>
        <w:t xml:space="preserve"> students are expected to perform very highly and have a security clearance to get a legal access.</w:t>
      </w:r>
      <w:r w:rsidR="00352B7D">
        <w:t xml:space="preserve"> </w:t>
      </w:r>
      <w:r>
        <w:t xml:space="preserve">Employment for the </w:t>
      </w:r>
      <w:proofErr w:type="spellStart"/>
      <w:r>
        <w:t>Bidoon</w:t>
      </w:r>
      <w:proofErr w:type="spellEnd"/>
      <w:r>
        <w:t xml:space="preserve"> was not a common thing. The system of </w:t>
      </w:r>
      <w:r w:rsidR="001923A2">
        <w:t>employment was not in their favor. As educated as one could be, it was not an assurance of getting a decent job. The available slots were the "remnants". Even with the few who managed to get them, their security and benefits were scraped off, with little wages to pocket. Others who ventured into small businesses were at risk of getting arrested since they could not obtain licenses, hence their activity was illegal.</w:t>
      </w:r>
    </w:p>
    <w:p w14:paraId="64B724E5" w14:textId="77777777" w:rsidR="006C4DD0" w:rsidRDefault="00A25EA6" w:rsidP="006C4DD0">
      <w:pPr>
        <w:tabs>
          <w:tab w:val="left" w:pos="465"/>
          <w:tab w:val="left" w:pos="630"/>
          <w:tab w:val="center" w:pos="4680"/>
        </w:tabs>
        <w:spacing w:after="0"/>
        <w:ind w:firstLine="0"/>
        <w:contextualSpacing/>
        <w:jc w:val="center"/>
        <w:rPr>
          <w:b/>
        </w:rPr>
      </w:pPr>
      <w:r w:rsidRPr="0046647D">
        <w:rPr>
          <w:b/>
        </w:rPr>
        <w:t>Healthcare</w:t>
      </w:r>
      <w:r w:rsidR="006C4DD0">
        <w:rPr>
          <w:b/>
        </w:rPr>
        <w:t xml:space="preserve"> and Housing</w:t>
      </w:r>
    </w:p>
    <w:p w14:paraId="341C0575" w14:textId="610F604C" w:rsidR="00A93D6F" w:rsidRPr="006C4DD0" w:rsidRDefault="00A25EA6" w:rsidP="006C4DD0">
      <w:pPr>
        <w:tabs>
          <w:tab w:val="left" w:pos="465"/>
          <w:tab w:val="left" w:pos="630"/>
          <w:tab w:val="center" w:pos="4680"/>
        </w:tabs>
        <w:spacing w:after="0"/>
        <w:ind w:firstLine="465"/>
        <w:contextualSpacing/>
        <w:rPr>
          <w:b/>
        </w:rPr>
      </w:pPr>
      <w:r>
        <w:t xml:space="preserve"> Healthcare is a challenging section when faced with discrimination. It was not a surprise in Kuwait. </w:t>
      </w:r>
      <w:proofErr w:type="spellStart"/>
      <w:r>
        <w:t>Bidoon</w:t>
      </w:r>
      <w:proofErr w:type="spellEnd"/>
      <w:r>
        <w:t xml:space="preserve"> was entitled to public health care, which was licensed under low standard healthcare insurances. These medical facilities, lacked medication, test laboratories among </w:t>
      </w:r>
      <w:r w:rsidR="00352B7D">
        <w:t>other basic</w:t>
      </w:r>
      <w:r>
        <w:t xml:space="preserve"> needs of a functioning hospital. </w:t>
      </w:r>
      <w:r w:rsidR="00352B7D">
        <w:t xml:space="preserve">The other option being private, their toil could not cater the high bills. The poor state of housing was a contributor to their hygiene. </w:t>
      </w:r>
    </w:p>
    <w:p w14:paraId="0EA34393" w14:textId="77777777" w:rsidR="004A48E3" w:rsidRDefault="00A25EA6" w:rsidP="006C4DD0">
      <w:pPr>
        <w:tabs>
          <w:tab w:val="left" w:pos="465"/>
          <w:tab w:val="left" w:pos="630"/>
          <w:tab w:val="center" w:pos="4680"/>
        </w:tabs>
        <w:spacing w:after="0"/>
        <w:ind w:firstLine="465"/>
        <w:contextualSpacing/>
      </w:pPr>
      <w:r>
        <w:tab/>
      </w:r>
      <w:r w:rsidR="00352B7D">
        <w:t>Early 1970’s the government c</w:t>
      </w:r>
      <w:r>
        <w:t xml:space="preserve">onstructed low standard housing, specifically for the </w:t>
      </w:r>
      <w:proofErr w:type="spellStart"/>
      <w:r>
        <w:t>Bidoon</w:t>
      </w:r>
      <w:proofErr w:type="spellEnd"/>
      <w:r>
        <w:t>. The houses which had little improvement over the years resulted in unhygienic conditions that accelerated health issues. The rising population has resulted in slums and poverty levels rising every day.</w:t>
      </w:r>
    </w:p>
    <w:p w14:paraId="24329D0D" w14:textId="77777777" w:rsidR="00A93D6F" w:rsidRDefault="00A25EA6" w:rsidP="006C4DD0">
      <w:pPr>
        <w:tabs>
          <w:tab w:val="left" w:pos="465"/>
          <w:tab w:val="left" w:pos="630"/>
          <w:tab w:val="center" w:pos="4680"/>
        </w:tabs>
        <w:spacing w:after="0"/>
        <w:ind w:firstLine="0"/>
        <w:contextualSpacing/>
        <w:jc w:val="center"/>
        <w:rPr>
          <w:b/>
        </w:rPr>
      </w:pPr>
      <w:r w:rsidRPr="00A93D6F">
        <w:rPr>
          <w:b/>
        </w:rPr>
        <w:t>Law Enforcement</w:t>
      </w:r>
    </w:p>
    <w:p w14:paraId="44BFD0D7" w14:textId="4689FBCA" w:rsidR="00A93D6F" w:rsidRDefault="00A25EA6" w:rsidP="006C4DD0">
      <w:pPr>
        <w:tabs>
          <w:tab w:val="left" w:pos="465"/>
          <w:tab w:val="left" w:pos="630"/>
          <w:tab w:val="center" w:pos="4680"/>
        </w:tabs>
        <w:spacing w:after="0"/>
        <w:contextualSpacing/>
      </w:pPr>
      <w:r>
        <w:tab/>
      </w:r>
      <w:r w:rsidR="00463E63">
        <w:t xml:space="preserve">When it came to law enforcing, the </w:t>
      </w:r>
      <w:r>
        <w:t xml:space="preserve">government was a bit brutal to </w:t>
      </w:r>
      <w:proofErr w:type="spellStart"/>
      <w:r w:rsidR="00DB68BA">
        <w:t>Bidoon</w:t>
      </w:r>
      <w:proofErr w:type="spellEnd"/>
      <w:r w:rsidR="00DB68BA">
        <w:t xml:space="preserve"> people. In 2011, the </w:t>
      </w:r>
      <w:proofErr w:type="spellStart"/>
      <w:r w:rsidR="00DB68BA">
        <w:t>Bidoon</w:t>
      </w:r>
      <w:proofErr w:type="spellEnd"/>
      <w:r w:rsidR="00DB68BA">
        <w:t xml:space="preserve"> faced mistreating from the Arabs. </w:t>
      </w:r>
      <w:r w:rsidR="006C4DD0">
        <w:t>These mistreatments lead</w:t>
      </w:r>
      <w:r w:rsidR="00DB68BA">
        <w:t xml:space="preserve"> to protests in </w:t>
      </w:r>
      <w:r w:rsidR="00DB68BA">
        <w:lastRenderedPageBreak/>
        <w:t>across the Kuwait City. However, the law enacted on them was ruthless, where the police injured a lot of Protestants. Many are those who were prosecuted and subjected to torture, sexual abuse, and ill-treatment.</w:t>
      </w:r>
    </w:p>
    <w:p w14:paraId="180F1A79" w14:textId="77777777" w:rsidR="00667D92" w:rsidRDefault="00A25EA6" w:rsidP="006C4DD0">
      <w:pPr>
        <w:tabs>
          <w:tab w:val="left" w:pos="465"/>
          <w:tab w:val="left" w:pos="630"/>
          <w:tab w:val="center" w:pos="4680"/>
        </w:tabs>
        <w:spacing w:after="0"/>
        <w:ind w:firstLine="0"/>
        <w:contextualSpacing/>
        <w:jc w:val="center"/>
        <w:rPr>
          <w:b/>
        </w:rPr>
      </w:pPr>
      <w:r w:rsidRPr="00DB68BA">
        <w:rPr>
          <w:b/>
        </w:rPr>
        <w:t>Conclusion</w:t>
      </w:r>
    </w:p>
    <w:p w14:paraId="16775C91" w14:textId="77777777" w:rsidR="004A48E3" w:rsidRDefault="00A25EA6" w:rsidP="006C4DD0">
      <w:pPr>
        <w:tabs>
          <w:tab w:val="left" w:pos="465"/>
          <w:tab w:val="left" w:pos="630"/>
          <w:tab w:val="center" w:pos="4680"/>
        </w:tabs>
        <w:spacing w:after="0"/>
        <w:ind w:firstLine="964"/>
        <w:contextualSpacing/>
      </w:pPr>
      <w:r>
        <w:rPr>
          <w:b/>
        </w:rPr>
        <w:tab/>
      </w:r>
      <w:r>
        <w:t xml:space="preserve">Briefly, from the discussions above, Kuwait is indeed a country that needs civil </w:t>
      </w:r>
      <w:r w:rsidR="00642D5F">
        <w:t xml:space="preserve">interventions on human equality, especially on how they treat </w:t>
      </w:r>
      <w:proofErr w:type="spellStart"/>
      <w:r w:rsidR="00642D5F">
        <w:t>Bidoon</w:t>
      </w:r>
      <w:proofErr w:type="spellEnd"/>
      <w:r w:rsidR="00642D5F">
        <w:t xml:space="preserve"> people. From a humane point of view, the Kuwait government could do better, since they discourage international corporates interfering with their internal affairs. I would advocate, for summits with neighboring countries, with the aim of harmonizing a sense of belonging for the stateless individuals.</w:t>
      </w:r>
    </w:p>
    <w:p w14:paraId="799A3B31" w14:textId="77777777" w:rsidR="00642D5F" w:rsidRDefault="00642D5F" w:rsidP="004A48E3">
      <w:pPr>
        <w:tabs>
          <w:tab w:val="left" w:pos="465"/>
          <w:tab w:val="left" w:pos="630"/>
          <w:tab w:val="center" w:pos="4680"/>
        </w:tabs>
        <w:ind w:firstLine="0"/>
      </w:pPr>
    </w:p>
    <w:p w14:paraId="2CDDB206" w14:textId="77777777" w:rsidR="00642D5F" w:rsidRDefault="00642D5F" w:rsidP="004A48E3">
      <w:pPr>
        <w:tabs>
          <w:tab w:val="left" w:pos="465"/>
          <w:tab w:val="left" w:pos="630"/>
          <w:tab w:val="center" w:pos="4680"/>
        </w:tabs>
        <w:ind w:firstLine="0"/>
      </w:pPr>
    </w:p>
    <w:p w14:paraId="50036752" w14:textId="77777777" w:rsidR="00642D5F" w:rsidRDefault="00642D5F" w:rsidP="004A48E3">
      <w:pPr>
        <w:tabs>
          <w:tab w:val="left" w:pos="465"/>
          <w:tab w:val="left" w:pos="630"/>
          <w:tab w:val="center" w:pos="4680"/>
        </w:tabs>
        <w:ind w:firstLine="0"/>
      </w:pPr>
    </w:p>
    <w:p w14:paraId="2D9F9825" w14:textId="77777777" w:rsidR="00642D5F" w:rsidRDefault="00642D5F" w:rsidP="004A48E3">
      <w:pPr>
        <w:tabs>
          <w:tab w:val="left" w:pos="465"/>
          <w:tab w:val="left" w:pos="630"/>
          <w:tab w:val="center" w:pos="4680"/>
        </w:tabs>
        <w:ind w:firstLine="0"/>
      </w:pPr>
    </w:p>
    <w:p w14:paraId="5E9C97BC" w14:textId="77777777" w:rsidR="00642D5F" w:rsidRDefault="00642D5F" w:rsidP="004A48E3">
      <w:pPr>
        <w:tabs>
          <w:tab w:val="left" w:pos="465"/>
          <w:tab w:val="left" w:pos="630"/>
          <w:tab w:val="center" w:pos="4680"/>
        </w:tabs>
        <w:ind w:firstLine="0"/>
      </w:pPr>
    </w:p>
    <w:p w14:paraId="3875EE66" w14:textId="77777777" w:rsidR="00642D5F" w:rsidRDefault="00642D5F" w:rsidP="004A48E3">
      <w:pPr>
        <w:tabs>
          <w:tab w:val="left" w:pos="465"/>
          <w:tab w:val="left" w:pos="630"/>
          <w:tab w:val="center" w:pos="4680"/>
        </w:tabs>
        <w:ind w:firstLine="0"/>
      </w:pPr>
    </w:p>
    <w:p w14:paraId="1F479680" w14:textId="77777777" w:rsidR="003F4817" w:rsidRDefault="003F4817" w:rsidP="003F4817">
      <w:pPr>
        <w:tabs>
          <w:tab w:val="left" w:pos="465"/>
          <w:tab w:val="left" w:pos="630"/>
          <w:tab w:val="center" w:pos="4680"/>
        </w:tabs>
        <w:ind w:firstLine="0"/>
        <w:jc w:val="both"/>
      </w:pPr>
    </w:p>
    <w:p w14:paraId="044D7861" w14:textId="77777777" w:rsidR="006C4DD0" w:rsidRDefault="006C4DD0">
      <w:pPr>
        <w:rPr>
          <w:b/>
        </w:rPr>
      </w:pPr>
      <w:r>
        <w:rPr>
          <w:b/>
        </w:rPr>
        <w:br w:type="page"/>
      </w:r>
    </w:p>
    <w:p w14:paraId="18655F01" w14:textId="3B59EFB3" w:rsidR="002F21B6" w:rsidRDefault="00A25EA6" w:rsidP="003F4817">
      <w:pPr>
        <w:tabs>
          <w:tab w:val="left" w:pos="465"/>
          <w:tab w:val="left" w:pos="630"/>
          <w:tab w:val="center" w:pos="4680"/>
        </w:tabs>
        <w:ind w:firstLine="0"/>
        <w:jc w:val="center"/>
        <w:rPr>
          <w:b/>
        </w:rPr>
      </w:pPr>
      <w:r w:rsidRPr="003F4817">
        <w:rPr>
          <w:b/>
        </w:rPr>
        <w:lastRenderedPageBreak/>
        <w:t>References</w:t>
      </w:r>
    </w:p>
    <w:p w14:paraId="2B5158D9" w14:textId="2C340C22" w:rsidR="00421502" w:rsidRDefault="00A25EA6" w:rsidP="006C4DD0">
      <w:pPr>
        <w:tabs>
          <w:tab w:val="left" w:pos="465"/>
          <w:tab w:val="left" w:pos="630"/>
          <w:tab w:val="center" w:pos="4680"/>
        </w:tabs>
        <w:spacing w:after="0"/>
        <w:ind w:left="679" w:hangingChars="283" w:hanging="679"/>
        <w:contextualSpacing/>
      </w:pPr>
      <w:proofErr w:type="spellStart"/>
      <w:r>
        <w:t>Ghanim</w:t>
      </w:r>
      <w:proofErr w:type="spellEnd"/>
      <w:r>
        <w:t xml:space="preserve"> A. (2001). Article. </w:t>
      </w:r>
      <w:r w:rsidRPr="003F4817">
        <w:t xml:space="preserve">Human Rights in </w:t>
      </w:r>
      <w:proofErr w:type="gramStart"/>
      <w:r w:rsidRPr="003F4817">
        <w:t>A</w:t>
      </w:r>
      <w:proofErr w:type="gramEnd"/>
      <w:r w:rsidRPr="003F4817">
        <w:t xml:space="preserve"> Crisis Situation: </w:t>
      </w:r>
      <w:r w:rsidRPr="003F4817">
        <w:rPr>
          <w:i/>
        </w:rPr>
        <w:t>The Case of Kuwait after Occupation</w:t>
      </w:r>
      <w:r>
        <w:rPr>
          <w:i/>
        </w:rPr>
        <w:t xml:space="preserve">. </w:t>
      </w:r>
      <w:r>
        <w:t>Retrieved on Sun, 09 Sep 2018.</w:t>
      </w:r>
      <w:r w:rsidR="006C4DD0">
        <w:t xml:space="preserve"> </w:t>
      </w:r>
      <w:hyperlink r:id="rId8" w:history="1">
        <w:r w:rsidRPr="003F4817">
          <w:rPr>
            <w:rStyle w:val="Hyperlink"/>
          </w:rPr>
          <w:t>https://www.jstor.org/stable/pdf/4489329</w:t>
        </w:r>
      </w:hyperlink>
      <w:r w:rsidR="006C4DD0">
        <w:tab/>
      </w:r>
    </w:p>
    <w:p w14:paraId="6ACA5000" w14:textId="77777777" w:rsidR="003F4817" w:rsidRDefault="00A25EA6" w:rsidP="006C4DD0">
      <w:pPr>
        <w:tabs>
          <w:tab w:val="left" w:pos="465"/>
          <w:tab w:val="left" w:pos="630"/>
          <w:tab w:val="center" w:pos="4680"/>
          <w:tab w:val="left" w:pos="5205"/>
        </w:tabs>
        <w:spacing w:after="0"/>
        <w:ind w:left="679" w:hangingChars="283" w:hanging="679"/>
        <w:contextualSpacing/>
        <w:rPr>
          <w:i/>
        </w:rPr>
      </w:pPr>
      <w:r>
        <w:t>Human Rights Watch</w:t>
      </w:r>
      <w:r w:rsidR="005866A2">
        <w:t>. (1995).</w:t>
      </w:r>
      <w:r>
        <w:t xml:space="preserve"> </w:t>
      </w:r>
      <w:r w:rsidR="005866A2">
        <w:t>Website. The</w:t>
      </w:r>
      <w:r>
        <w:t xml:space="preserve"> </w:t>
      </w:r>
      <w:proofErr w:type="spellStart"/>
      <w:r>
        <w:t>Bedoons</w:t>
      </w:r>
      <w:proofErr w:type="spellEnd"/>
      <w:r>
        <w:t xml:space="preserve"> </w:t>
      </w:r>
      <w:r w:rsidR="005866A2">
        <w:t xml:space="preserve">of Kuwait: </w:t>
      </w:r>
      <w:r w:rsidRPr="005866A2">
        <w:rPr>
          <w:i/>
        </w:rPr>
        <w:t>Citizens without Citizenship</w:t>
      </w:r>
      <w:r w:rsidR="005866A2">
        <w:rPr>
          <w:i/>
        </w:rPr>
        <w:t>.</w:t>
      </w:r>
    </w:p>
    <w:p w14:paraId="4088C5BA" w14:textId="75F7E40A" w:rsidR="00421502" w:rsidRDefault="00A25EA6" w:rsidP="006C4DD0">
      <w:pPr>
        <w:tabs>
          <w:tab w:val="left" w:pos="465"/>
          <w:tab w:val="left" w:pos="630"/>
          <w:tab w:val="center" w:pos="4680"/>
          <w:tab w:val="left" w:pos="5205"/>
        </w:tabs>
        <w:spacing w:after="0"/>
        <w:ind w:left="679" w:hangingChars="283" w:hanging="679"/>
        <w:contextualSpacing/>
      </w:pPr>
      <w:r>
        <w:tab/>
      </w:r>
      <w:r>
        <w:tab/>
      </w:r>
      <w:hyperlink r:id="rId9" w:history="1">
        <w:r w:rsidRPr="005866A2">
          <w:rPr>
            <w:rStyle w:val="Hyperlink"/>
          </w:rPr>
          <w:t>https://www.hrw.org/reports/1995/Kuwait.htm</w:t>
        </w:r>
      </w:hyperlink>
    </w:p>
    <w:p w14:paraId="2442AF0B" w14:textId="41F43AF6" w:rsidR="00421502" w:rsidRDefault="00A25EA6" w:rsidP="006C4DD0">
      <w:pPr>
        <w:tabs>
          <w:tab w:val="left" w:pos="465"/>
          <w:tab w:val="left" w:pos="630"/>
          <w:tab w:val="center" w:pos="4680"/>
          <w:tab w:val="left" w:pos="5205"/>
        </w:tabs>
        <w:spacing w:after="0"/>
        <w:ind w:left="679" w:hangingChars="283" w:hanging="679"/>
        <w:contextualSpacing/>
      </w:pPr>
      <w:r>
        <w:t>World Directory of Minorities and Indigenous People in Kuwait.</w:t>
      </w:r>
      <w:r w:rsidR="00D043BD">
        <w:t xml:space="preserve"> (2017)</w:t>
      </w:r>
      <w:r>
        <w:t xml:space="preserve"> Report</w:t>
      </w:r>
      <w:r w:rsidR="00D043BD">
        <w:t xml:space="preserve">. </w:t>
      </w:r>
      <w:hyperlink r:id="rId10" w:history="1">
        <w:r w:rsidRPr="005866A2">
          <w:rPr>
            <w:rStyle w:val="Hyperlink"/>
          </w:rPr>
          <w:t>https://minorityrights.org/minorities/bidoon</w:t>
        </w:r>
      </w:hyperlink>
    </w:p>
    <w:p w14:paraId="2D41F9A9" w14:textId="1A82F268" w:rsidR="00D043BD" w:rsidRPr="005866A2" w:rsidRDefault="00A25EA6" w:rsidP="006C4DD0">
      <w:pPr>
        <w:tabs>
          <w:tab w:val="left" w:pos="465"/>
          <w:tab w:val="left" w:pos="630"/>
          <w:tab w:val="center" w:pos="4680"/>
          <w:tab w:val="left" w:pos="5205"/>
        </w:tabs>
        <w:spacing w:after="0"/>
        <w:ind w:left="679" w:hangingChars="283" w:hanging="679"/>
        <w:contextualSpacing/>
      </w:pPr>
      <w:r>
        <w:t xml:space="preserve">Bureau of Democracy, Human Rights, </w:t>
      </w:r>
      <w:proofErr w:type="gramStart"/>
      <w:r>
        <w:t>And</w:t>
      </w:r>
      <w:proofErr w:type="gramEnd"/>
      <w:r>
        <w:t xml:space="preserve"> Labor (2010). Country Reports on Human Rights Practices Repo</w:t>
      </w:r>
      <w:r w:rsidR="006C4DD0">
        <w:t xml:space="preserve">rt. Retrieved on April 8, 2011 </w:t>
      </w:r>
      <w:hyperlink r:id="rId11" w:history="1">
        <w:r w:rsidRPr="00D043BD">
          <w:rPr>
            <w:rStyle w:val="Hyperlink"/>
          </w:rPr>
          <w:t>https://www.state.gov/j/drl/rls/hrrpt/2010/nea/154465.htm</w:t>
        </w:r>
      </w:hyperlink>
    </w:p>
    <w:sectPr w:rsidR="00D043BD" w:rsidRPr="005866A2" w:rsidSect="003F4817">
      <w:headerReference w:type="default" r:id="rId12"/>
      <w:headerReference w:type="firs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A1E872" w15:done="0"/>
  <w15:commentEx w15:paraId="19187E6B" w15:done="0"/>
  <w15:commentEx w15:paraId="03C7481E" w15:done="0"/>
  <w15:commentEx w15:paraId="1910832E" w15:done="0"/>
  <w15:commentEx w15:paraId="2DFBAB6D" w15:done="0"/>
  <w15:commentEx w15:paraId="51E898C2" w15:done="0"/>
  <w15:commentEx w15:paraId="78EA5BBB" w15:done="0"/>
  <w15:commentEx w15:paraId="52DE0451" w15:done="0"/>
  <w15:commentEx w15:paraId="59376D58" w15:done="0"/>
  <w15:commentEx w15:paraId="1D6A8341" w15:done="0"/>
  <w15:commentEx w15:paraId="7CD17F75" w15:done="0"/>
  <w15:commentEx w15:paraId="0AB7DFE6" w15:done="0"/>
  <w15:commentEx w15:paraId="08DF36C8" w15:done="0"/>
  <w15:commentEx w15:paraId="348DDC32" w15:done="0"/>
  <w15:commentEx w15:paraId="6F4264DF" w15:done="0"/>
  <w15:commentEx w15:paraId="4A5D3F73" w15:done="0"/>
  <w15:commentEx w15:paraId="4B550E60" w15:done="0"/>
  <w15:commentEx w15:paraId="0C3EE41D" w15:done="0"/>
  <w15:commentEx w15:paraId="0A2C6D35" w15:done="0"/>
  <w15:commentEx w15:paraId="78B50475" w15:done="0"/>
  <w15:commentEx w15:paraId="318F88B5" w15:done="0"/>
  <w15:commentEx w15:paraId="7ACCE909" w15:done="0"/>
  <w15:commentEx w15:paraId="72E5162F" w15:done="0"/>
  <w15:commentEx w15:paraId="023E33B8" w15:done="0"/>
  <w15:commentEx w15:paraId="7B6D6DBA" w15:done="0"/>
  <w15:commentEx w15:paraId="0EAE0510" w15:done="0"/>
  <w15:commentEx w15:paraId="39464A3A" w15:done="0"/>
  <w15:commentEx w15:paraId="6144F47E" w15:done="0"/>
  <w15:commentEx w15:paraId="2C058636" w15:done="0"/>
  <w15:commentEx w15:paraId="6E86789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3396D" w14:textId="77777777" w:rsidR="00E869F1" w:rsidRDefault="00E869F1">
      <w:pPr>
        <w:spacing w:after="0" w:line="240" w:lineRule="auto"/>
      </w:pPr>
      <w:r>
        <w:separator/>
      </w:r>
    </w:p>
  </w:endnote>
  <w:endnote w:type="continuationSeparator" w:id="0">
    <w:p w14:paraId="4A14851F" w14:textId="77777777" w:rsidR="00E869F1" w:rsidRDefault="00E86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FB1BE" w14:textId="77777777" w:rsidR="00E869F1" w:rsidRDefault="00E869F1">
      <w:pPr>
        <w:spacing w:after="0" w:line="240" w:lineRule="auto"/>
      </w:pPr>
      <w:r>
        <w:separator/>
      </w:r>
    </w:p>
  </w:footnote>
  <w:footnote w:type="continuationSeparator" w:id="0">
    <w:p w14:paraId="6408EFF1" w14:textId="77777777" w:rsidR="00E869F1" w:rsidRDefault="00E86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7304A" w14:textId="03C9EE6D" w:rsidR="00193D8C" w:rsidRDefault="006C4DD0" w:rsidP="006C4DD0">
    <w:pPr>
      <w:pStyle w:val="Header"/>
      <w:ind w:firstLine="0"/>
      <w:jc w:val="both"/>
    </w:pPr>
    <w:r>
      <w:t>STATELESS PEOPLE IN KUWAIT</w:t>
    </w:r>
    <w:r w:rsidR="00A25EA6">
      <w:t xml:space="preserve"> </w:t>
    </w:r>
    <w:r w:rsidR="00A25EA6">
      <w:tab/>
    </w:r>
    <w:r w:rsidR="00A25EA6">
      <w:tab/>
    </w:r>
    <w:r w:rsidR="00A25EA6">
      <w:fldChar w:fldCharType="begin"/>
    </w:r>
    <w:r w:rsidR="00A25EA6">
      <w:instrText xml:space="preserve"> PAGE   \* MERGEFORMAT </w:instrText>
    </w:r>
    <w:r w:rsidR="00A25EA6">
      <w:fldChar w:fldCharType="separate"/>
    </w:r>
    <w:r>
      <w:rPr>
        <w:noProof/>
      </w:rPr>
      <w:t>2</w:t>
    </w:r>
    <w:r w:rsidR="00A25EA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EEA3F" w14:textId="538305C2" w:rsidR="00193D8C" w:rsidRDefault="00A25EA6" w:rsidP="006C4DD0">
    <w:pPr>
      <w:pStyle w:val="Header"/>
      <w:ind w:firstLine="0"/>
      <w:jc w:val="both"/>
    </w:pPr>
    <w:r>
      <w:t>Running head: STATELESS PEOPLE IN KUWAIT</w:t>
    </w:r>
    <w:r>
      <w:tab/>
    </w:r>
    <w:r>
      <w:fldChar w:fldCharType="begin"/>
    </w:r>
    <w:r>
      <w:instrText xml:space="preserve"> PAGE   \* MERGEFORMAT </w:instrText>
    </w:r>
    <w:r>
      <w:fldChar w:fldCharType="separate"/>
    </w:r>
    <w:r w:rsidR="006C4DD0">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52AB4"/>
    <w:multiLevelType w:val="hybridMultilevel"/>
    <w:tmpl w:val="0C0EC21C"/>
    <w:lvl w:ilvl="0" w:tplc="E97263DA">
      <w:start w:val="1"/>
      <w:numFmt w:val="decimal"/>
      <w:lvlText w:val="%1."/>
      <w:lvlJc w:val="left"/>
      <w:pPr>
        <w:ind w:left="720" w:hanging="360"/>
      </w:pPr>
    </w:lvl>
    <w:lvl w:ilvl="1" w:tplc="069E2AA0" w:tentative="1">
      <w:start w:val="1"/>
      <w:numFmt w:val="lowerLetter"/>
      <w:lvlText w:val="%2."/>
      <w:lvlJc w:val="left"/>
      <w:pPr>
        <w:ind w:left="1440" w:hanging="360"/>
      </w:pPr>
    </w:lvl>
    <w:lvl w:ilvl="2" w:tplc="C840C232" w:tentative="1">
      <w:start w:val="1"/>
      <w:numFmt w:val="lowerRoman"/>
      <w:lvlText w:val="%3."/>
      <w:lvlJc w:val="right"/>
      <w:pPr>
        <w:ind w:left="2160" w:hanging="180"/>
      </w:pPr>
    </w:lvl>
    <w:lvl w:ilvl="3" w:tplc="9132ADC8" w:tentative="1">
      <w:start w:val="1"/>
      <w:numFmt w:val="decimal"/>
      <w:lvlText w:val="%4."/>
      <w:lvlJc w:val="left"/>
      <w:pPr>
        <w:ind w:left="2880" w:hanging="360"/>
      </w:pPr>
    </w:lvl>
    <w:lvl w:ilvl="4" w:tplc="405C9AEA" w:tentative="1">
      <w:start w:val="1"/>
      <w:numFmt w:val="lowerLetter"/>
      <w:lvlText w:val="%5."/>
      <w:lvlJc w:val="left"/>
      <w:pPr>
        <w:ind w:left="3600" w:hanging="360"/>
      </w:pPr>
    </w:lvl>
    <w:lvl w:ilvl="5" w:tplc="B388F7EC" w:tentative="1">
      <w:start w:val="1"/>
      <w:numFmt w:val="lowerRoman"/>
      <w:lvlText w:val="%6."/>
      <w:lvlJc w:val="right"/>
      <w:pPr>
        <w:ind w:left="4320" w:hanging="180"/>
      </w:pPr>
    </w:lvl>
    <w:lvl w:ilvl="6" w:tplc="DF0A0D50" w:tentative="1">
      <w:start w:val="1"/>
      <w:numFmt w:val="decimal"/>
      <w:lvlText w:val="%7."/>
      <w:lvlJc w:val="left"/>
      <w:pPr>
        <w:ind w:left="5040" w:hanging="360"/>
      </w:pPr>
    </w:lvl>
    <w:lvl w:ilvl="7" w:tplc="1F1492A4" w:tentative="1">
      <w:start w:val="1"/>
      <w:numFmt w:val="lowerLetter"/>
      <w:lvlText w:val="%8."/>
      <w:lvlJc w:val="left"/>
      <w:pPr>
        <w:ind w:left="5760" w:hanging="360"/>
      </w:pPr>
    </w:lvl>
    <w:lvl w:ilvl="8" w:tplc="0A2C95A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wsLQwMDMxNDcwMzBT0lEKTi0uzszPAykwrAUAdtliRCwAAAA="/>
  </w:docVars>
  <w:rsids>
    <w:rsidRoot w:val="00193D8C"/>
    <w:rsid w:val="00060501"/>
    <w:rsid w:val="00066067"/>
    <w:rsid w:val="000F169D"/>
    <w:rsid w:val="00164184"/>
    <w:rsid w:val="0017235C"/>
    <w:rsid w:val="001923A2"/>
    <w:rsid w:val="00193D8C"/>
    <w:rsid w:val="001D72AC"/>
    <w:rsid w:val="002204B0"/>
    <w:rsid w:val="002240F8"/>
    <w:rsid w:val="002F21B6"/>
    <w:rsid w:val="00352B7D"/>
    <w:rsid w:val="00373E5E"/>
    <w:rsid w:val="003A29F1"/>
    <w:rsid w:val="003F4817"/>
    <w:rsid w:val="00421502"/>
    <w:rsid w:val="00463E63"/>
    <w:rsid w:val="0046647D"/>
    <w:rsid w:val="00472DA9"/>
    <w:rsid w:val="004A48E3"/>
    <w:rsid w:val="004D309E"/>
    <w:rsid w:val="005866A2"/>
    <w:rsid w:val="00642D5F"/>
    <w:rsid w:val="00652EC9"/>
    <w:rsid w:val="006653BB"/>
    <w:rsid w:val="00667D92"/>
    <w:rsid w:val="00691E27"/>
    <w:rsid w:val="006C4DD0"/>
    <w:rsid w:val="0072722E"/>
    <w:rsid w:val="007937CF"/>
    <w:rsid w:val="007E44CB"/>
    <w:rsid w:val="00815329"/>
    <w:rsid w:val="00880521"/>
    <w:rsid w:val="009252A9"/>
    <w:rsid w:val="00943963"/>
    <w:rsid w:val="00A25EA6"/>
    <w:rsid w:val="00A35716"/>
    <w:rsid w:val="00A55CD0"/>
    <w:rsid w:val="00A93D6F"/>
    <w:rsid w:val="00B17F0E"/>
    <w:rsid w:val="00B70D73"/>
    <w:rsid w:val="00C220E7"/>
    <w:rsid w:val="00D043BD"/>
    <w:rsid w:val="00D4493D"/>
    <w:rsid w:val="00DB4823"/>
    <w:rsid w:val="00DB68BA"/>
    <w:rsid w:val="00E62E7F"/>
    <w:rsid w:val="00E744BC"/>
    <w:rsid w:val="00E869F1"/>
    <w:rsid w:val="00ED5AD7"/>
    <w:rsid w:val="00F5715A"/>
    <w:rsid w:val="00FB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D8C"/>
  </w:style>
  <w:style w:type="paragraph" w:styleId="Footer">
    <w:name w:val="footer"/>
    <w:basedOn w:val="Normal"/>
    <w:link w:val="FooterChar"/>
    <w:uiPriority w:val="99"/>
    <w:unhideWhenUsed/>
    <w:rsid w:val="00193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D8C"/>
  </w:style>
  <w:style w:type="paragraph" w:styleId="ListParagraph">
    <w:name w:val="List Paragraph"/>
    <w:basedOn w:val="Normal"/>
    <w:uiPriority w:val="34"/>
    <w:qFormat/>
    <w:rsid w:val="000F169D"/>
    <w:pPr>
      <w:ind w:left="720"/>
      <w:contextualSpacing/>
    </w:pPr>
  </w:style>
  <w:style w:type="character" w:styleId="Hyperlink">
    <w:name w:val="Hyperlink"/>
    <w:basedOn w:val="DefaultParagraphFont"/>
    <w:uiPriority w:val="99"/>
    <w:unhideWhenUsed/>
    <w:rsid w:val="003F4817"/>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2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DA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D8C"/>
  </w:style>
  <w:style w:type="paragraph" w:styleId="Footer">
    <w:name w:val="footer"/>
    <w:basedOn w:val="Normal"/>
    <w:link w:val="FooterChar"/>
    <w:uiPriority w:val="99"/>
    <w:unhideWhenUsed/>
    <w:rsid w:val="00193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D8C"/>
  </w:style>
  <w:style w:type="paragraph" w:styleId="ListParagraph">
    <w:name w:val="List Paragraph"/>
    <w:basedOn w:val="Normal"/>
    <w:uiPriority w:val="34"/>
    <w:qFormat/>
    <w:rsid w:val="000F169D"/>
    <w:pPr>
      <w:ind w:left="720"/>
      <w:contextualSpacing/>
    </w:pPr>
  </w:style>
  <w:style w:type="character" w:styleId="Hyperlink">
    <w:name w:val="Hyperlink"/>
    <w:basedOn w:val="DefaultParagraphFont"/>
    <w:uiPriority w:val="99"/>
    <w:unhideWhenUsed/>
    <w:rsid w:val="003F4817"/>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2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D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pdf/4489329"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tate.gov/j/drl/rls/hrrpt/2010/nea/154465.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inorityrights.org/minorities/bidoon" TargetMode="External"/><Relationship Id="rId4" Type="http://schemas.openxmlformats.org/officeDocument/2006/relationships/settings" Target="settings.xml"/><Relationship Id="rId9" Type="http://schemas.openxmlformats.org/officeDocument/2006/relationships/hyperlink" Target="https://www.hrw.org/reports/1995/Kuwait.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2018-09-09T23:42:00Z</dcterms:created>
  <dcterms:modified xsi:type="dcterms:W3CDTF">2018-09-09T23:42:00Z</dcterms:modified>
</cp:coreProperties>
</file>